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3374ED71" w14:textId="6460D70B" w:rsidR="009A03F2" w:rsidRDefault="009A03F2" w:rsidP="00201A79">
      <w:pPr>
        <w:jc w:val="center"/>
        <w:rPr>
          <w:b/>
          <w:sz w:val="32"/>
          <w:szCs w:val="32"/>
        </w:rPr>
      </w:pPr>
      <w:r w:rsidRPr="009A03F2">
        <w:rPr>
          <w:b/>
          <w:sz w:val="32"/>
          <w:szCs w:val="32"/>
        </w:rPr>
        <w:t>Automatización de la generación de</w:t>
      </w:r>
      <w:r w:rsidR="00C60CE5">
        <w:rPr>
          <w:b/>
          <w:sz w:val="32"/>
          <w:szCs w:val="32"/>
        </w:rPr>
        <w:t>l</w:t>
      </w:r>
      <w:r w:rsidRPr="009A03F2">
        <w:rPr>
          <w:b/>
          <w:sz w:val="32"/>
          <w:szCs w:val="32"/>
        </w:rPr>
        <w:t xml:space="preserve"> consolidado de saldo</w:t>
      </w:r>
      <w:r w:rsidR="00C60CE5">
        <w:rPr>
          <w:b/>
          <w:sz w:val="32"/>
          <w:szCs w:val="32"/>
        </w:rPr>
        <w:t>s</w:t>
      </w:r>
      <w:r w:rsidRPr="009A03F2">
        <w:rPr>
          <w:b/>
          <w:sz w:val="32"/>
          <w:szCs w:val="32"/>
        </w:rPr>
        <w:t xml:space="preserve"> </w:t>
      </w:r>
    </w:p>
    <w:p w14:paraId="270A840E" w14:textId="4BF93BB8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825C43">
        <w:rPr>
          <w:color w:val="0000FF"/>
        </w:rPr>
        <w:t>###</w:t>
      </w:r>
      <w:r>
        <w:rPr>
          <w:color w:val="0000FF"/>
        </w:rPr>
        <w:t>-</w:t>
      </w:r>
      <w:r w:rsidR="00825C43">
        <w:rPr>
          <w:color w:val="0000FF"/>
        </w:rPr>
        <w:t>MES</w:t>
      </w:r>
      <w:r>
        <w:rPr>
          <w:color w:val="0000FF"/>
        </w:rPr>
        <w:t>-2021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B1B50">
        <w:tc>
          <w:tcPr>
            <w:tcW w:w="1413" w:type="dxa"/>
            <w:shd w:val="clear" w:color="auto" w:fill="548DD4"/>
          </w:tcPr>
          <w:p w14:paraId="20821417" w14:textId="77777777" w:rsidR="009C4193" w:rsidRDefault="009C4193" w:rsidP="008B1B50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</w:tcPr>
          <w:p w14:paraId="39496AA8" w14:textId="77777777" w:rsidR="009C4193" w:rsidRDefault="009C4193" w:rsidP="008B1B50">
            <w:pPr>
              <w:spacing w:after="0"/>
              <w:jc w:val="center"/>
            </w:pPr>
            <w:r>
              <w:t xml:space="preserve">Versión </w:t>
            </w:r>
          </w:p>
        </w:tc>
        <w:tc>
          <w:tcPr>
            <w:tcW w:w="1701" w:type="dxa"/>
            <w:shd w:val="clear" w:color="auto" w:fill="548DD4"/>
          </w:tcPr>
          <w:p w14:paraId="508D80A1" w14:textId="77777777" w:rsidR="009C4193" w:rsidRDefault="009C4193" w:rsidP="008B1B50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</w:tcPr>
          <w:p w14:paraId="5F8C72E8" w14:textId="77777777" w:rsidR="009C4193" w:rsidRDefault="009C4193" w:rsidP="008B1B50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</w:tcPr>
          <w:p w14:paraId="2A2126FE" w14:textId="77777777" w:rsidR="009C4193" w:rsidRDefault="009C4193" w:rsidP="008B1B50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B1B50">
        <w:tc>
          <w:tcPr>
            <w:tcW w:w="1413" w:type="dxa"/>
          </w:tcPr>
          <w:p w14:paraId="70363B2A" w14:textId="44EE62F5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</w:tcPr>
          <w:p w14:paraId="6B88AFBE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</w:tcPr>
          <w:p w14:paraId="75CB0508" w14:textId="2B977CB9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2127" w:type="dxa"/>
          </w:tcPr>
          <w:p w14:paraId="088CEB3C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212922DB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B1B50">
        <w:tc>
          <w:tcPr>
            <w:tcW w:w="1413" w:type="dxa"/>
          </w:tcPr>
          <w:p w14:paraId="068696B9" w14:textId="08572800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450EF40" w14:textId="77777777" w:rsidR="009C4193" w:rsidRDefault="009C4193" w:rsidP="008B1B50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</w:tcPr>
          <w:p w14:paraId="5FF7655B" w14:textId="0E773672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01E5C421" w14:textId="6D988019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66A1E5FA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B1B50">
        <w:tc>
          <w:tcPr>
            <w:tcW w:w="1413" w:type="dxa"/>
          </w:tcPr>
          <w:p w14:paraId="6B2D510D" w14:textId="12A6370F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448B3D29" w14:textId="77777777" w:rsidR="009C4193" w:rsidRDefault="009C4193" w:rsidP="008B1B50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</w:tcPr>
          <w:p w14:paraId="2CB614DA" w14:textId="4636F1FD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604AC98F" w14:textId="0B3332F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30234F0A" w14:textId="0E707488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B1B50">
        <w:tc>
          <w:tcPr>
            <w:tcW w:w="1413" w:type="dxa"/>
          </w:tcPr>
          <w:p w14:paraId="5A336232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004AF1A2" w14:textId="77777777" w:rsidR="009C4193" w:rsidRDefault="009C4193" w:rsidP="008B1B50">
            <w:pPr>
              <w:spacing w:after="0"/>
            </w:pPr>
          </w:p>
        </w:tc>
        <w:tc>
          <w:tcPr>
            <w:tcW w:w="1701" w:type="dxa"/>
          </w:tcPr>
          <w:p w14:paraId="562482AE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51B63B35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1984" w:type="dxa"/>
          </w:tcPr>
          <w:p w14:paraId="570A3AFE" w14:textId="77777777" w:rsidR="009C4193" w:rsidRDefault="009C4193" w:rsidP="008B1B50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086EA45E" w14:textId="5999669C" w:rsidR="006E3049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832665" w:history="1">
            <w:r w:rsidR="006E3049" w:rsidRPr="00020426">
              <w:rPr>
                <w:rStyle w:val="Hipervnculo"/>
                <w:noProof/>
              </w:rPr>
              <w:t>Descripción</w:t>
            </w:r>
            <w:r w:rsidR="006E3049">
              <w:rPr>
                <w:noProof/>
                <w:webHidden/>
              </w:rPr>
              <w:tab/>
            </w:r>
            <w:r w:rsidR="006E3049">
              <w:rPr>
                <w:noProof/>
                <w:webHidden/>
              </w:rPr>
              <w:fldChar w:fldCharType="begin"/>
            </w:r>
            <w:r w:rsidR="006E3049">
              <w:rPr>
                <w:noProof/>
                <w:webHidden/>
              </w:rPr>
              <w:instrText xml:space="preserve"> PAGEREF _Toc95832665 \h </w:instrText>
            </w:r>
            <w:r w:rsidR="006E3049">
              <w:rPr>
                <w:noProof/>
                <w:webHidden/>
              </w:rPr>
            </w:r>
            <w:r w:rsidR="006E3049">
              <w:rPr>
                <w:noProof/>
                <w:webHidden/>
              </w:rPr>
              <w:fldChar w:fldCharType="separate"/>
            </w:r>
            <w:r w:rsidR="006E3049">
              <w:rPr>
                <w:noProof/>
                <w:webHidden/>
              </w:rPr>
              <w:t>3</w:t>
            </w:r>
            <w:r w:rsidR="006E3049">
              <w:rPr>
                <w:noProof/>
                <w:webHidden/>
              </w:rPr>
              <w:fldChar w:fldCharType="end"/>
            </w:r>
          </w:hyperlink>
        </w:p>
        <w:p w14:paraId="17A46F89" w14:textId="12A8958F" w:rsidR="006E3049" w:rsidRDefault="006E304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5832666" w:history="1">
            <w:r w:rsidRPr="00020426">
              <w:rPr>
                <w:rStyle w:val="Hipervnculo"/>
                <w:noProof/>
              </w:rPr>
              <w:t>Definición del 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_Toc95832666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795E4" w14:textId="01880078" w:rsidR="006E3049" w:rsidRDefault="006E304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5832667" w:history="1">
            <w:r w:rsidRPr="00020426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020426">
              <w:rPr>
                <w:rStyle w:val="Hipervnculo"/>
                <w:noProof/>
              </w:rPr>
              <w:t>Sobre la generación de consolidado de saldos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_Toc95832667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E0B5E" w14:textId="675F8716" w:rsidR="006E3049" w:rsidRDefault="006E304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5832668" w:history="1">
            <w:r w:rsidRPr="00020426">
              <w:rPr>
                <w:rStyle w:val="Hipervnculo"/>
                <w:noProof/>
              </w:rPr>
              <w:t>Sistemas/módulos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_Toc95832668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6F02F" w14:textId="00E58758" w:rsidR="006E3049" w:rsidRDefault="006E304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5832669" w:history="1">
            <w:r w:rsidRPr="00020426">
              <w:rPr>
                <w:rStyle w:val="Hipervnculo"/>
                <w:noProof/>
              </w:rPr>
              <w:t>Áreas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_Toc95832669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92F83" w14:textId="262CE562" w:rsidR="006E3049" w:rsidRDefault="006E304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5832670" w:history="1">
            <w:r w:rsidRPr="00020426">
              <w:rPr>
                <w:rStyle w:val="Hipervnculo"/>
                <w:noProof/>
              </w:rPr>
              <w:t>Aspectos de seguridad de la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_Toc95832670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098EB" w14:textId="49967C27" w:rsidR="006E3049" w:rsidRDefault="006E304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5832671" w:history="1">
            <w:r w:rsidRPr="00020426">
              <w:rPr>
                <w:rStyle w:val="Hipervnculo"/>
                <w:noProof/>
              </w:rPr>
              <w:t>Otros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_Toc95832671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9719" w14:textId="13775188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363EC565" w14:textId="251525D1" w:rsidR="004D135D" w:rsidRDefault="00DC47A9" w:rsidP="00DC47A9">
      <w:pPr>
        <w:pStyle w:val="Ttulo1"/>
      </w:pPr>
      <w:bookmarkStart w:id="1" w:name="_Toc95832665"/>
      <w:r>
        <w:lastRenderedPageBreak/>
        <w:t>Descripción</w:t>
      </w:r>
      <w:bookmarkEnd w:id="1"/>
    </w:p>
    <w:p w14:paraId="49C0E2C9" w14:textId="033E8D1A" w:rsidR="00DC47A9" w:rsidRDefault="009B4684" w:rsidP="002652D5">
      <w:pPr>
        <w:pStyle w:val="Prrafodelista"/>
        <w:numPr>
          <w:ilvl w:val="0"/>
          <w:numId w:val="14"/>
        </w:numPr>
        <w:jc w:val="both"/>
      </w:pPr>
      <w:r>
        <w:t>Se solicita implementar en el SG5</w:t>
      </w:r>
      <w:r w:rsidR="00EC5875">
        <w:t xml:space="preserve"> un módulo que permita visualizar y </w:t>
      </w:r>
      <w:r w:rsidR="00D415C3">
        <w:t>descargar</w:t>
      </w:r>
      <w:r w:rsidR="00EC5875">
        <w:t xml:space="preserve"> en formato Excel</w:t>
      </w:r>
      <w:r w:rsidR="00EC5875">
        <w:t>, el consolidado de saldos.</w:t>
      </w:r>
    </w:p>
    <w:p w14:paraId="47A40686" w14:textId="2C5566DB" w:rsidR="00DC47A9" w:rsidRDefault="00DC47A9" w:rsidP="00DC47A9">
      <w:pPr>
        <w:pStyle w:val="Ttulo1"/>
      </w:pPr>
      <w:bookmarkStart w:id="2" w:name="_Toc95832666"/>
      <w:r>
        <w:t>Definición del alcance</w:t>
      </w:r>
      <w:bookmarkEnd w:id="2"/>
    </w:p>
    <w:p w14:paraId="53A7B5C9" w14:textId="54D97B9D" w:rsidR="00641DC9" w:rsidRDefault="00EC5875" w:rsidP="00DC47A9">
      <w:pPr>
        <w:pStyle w:val="Ttulo2"/>
        <w:numPr>
          <w:ilvl w:val="0"/>
          <w:numId w:val="15"/>
        </w:numPr>
      </w:pPr>
      <w:bookmarkStart w:id="3" w:name="_Toc95832667"/>
      <w:r>
        <w:t>Sobre</w:t>
      </w:r>
      <w:r w:rsidR="003644FD">
        <w:t xml:space="preserve"> la generación </w:t>
      </w:r>
      <w:r w:rsidR="009A03F2">
        <w:t>de consolidado de saldo</w:t>
      </w:r>
      <w:r w:rsidR="00C60CE5">
        <w:t>s</w:t>
      </w:r>
      <w:bookmarkEnd w:id="3"/>
      <w:r w:rsidR="003644FD">
        <w:t xml:space="preserve"> </w:t>
      </w:r>
    </w:p>
    <w:p w14:paraId="6F79442E" w14:textId="77777777" w:rsidR="00A97177" w:rsidRDefault="00641DC9" w:rsidP="00A97177">
      <w:pPr>
        <w:pStyle w:val="Prrafodelista"/>
        <w:numPr>
          <w:ilvl w:val="1"/>
          <w:numId w:val="3"/>
        </w:numPr>
        <w:jc w:val="both"/>
      </w:pPr>
      <w:r>
        <w:t>Descripción del estado actual:</w:t>
      </w:r>
      <w:r w:rsidR="00A97177">
        <w:t xml:space="preserve"> </w:t>
      </w:r>
    </w:p>
    <w:p w14:paraId="35D7A9B0" w14:textId="55678573" w:rsidR="00F96CA2" w:rsidRDefault="00A97177" w:rsidP="00097A52">
      <w:pPr>
        <w:pStyle w:val="Prrafodelista"/>
        <w:ind w:left="1440"/>
        <w:jc w:val="both"/>
      </w:pPr>
      <w:r>
        <w:t xml:space="preserve">Actualmente el SG5 </w:t>
      </w:r>
      <w:r w:rsidR="006E3049">
        <w:t xml:space="preserve">no cuenta </w:t>
      </w:r>
      <w:r w:rsidR="006E3049">
        <w:t xml:space="preserve">con un módulo de generación </w:t>
      </w:r>
      <w:r w:rsidR="006E3049">
        <w:t>de consolidado de saldos</w:t>
      </w:r>
      <w:r w:rsidR="00097A52">
        <w:t>.</w:t>
      </w:r>
      <w:r w:rsidR="006E3049">
        <w:t xml:space="preserve"> </w:t>
      </w:r>
      <w:r w:rsidR="00097A52">
        <w:t>E</w:t>
      </w:r>
      <w:r w:rsidR="006E3049">
        <w:t>l proceso se efectúa de manera manual</w:t>
      </w:r>
      <w:r w:rsidR="00097A52">
        <w:t>, se descarga el reporte de</w:t>
      </w:r>
      <w:r w:rsidR="00097A52" w:rsidRPr="00097A52">
        <w:t xml:space="preserve"> </w:t>
      </w:r>
      <w:r w:rsidR="00097A52">
        <w:t xml:space="preserve">flujo de caja y el reporte de facturación por fechas </w:t>
      </w:r>
      <w:r w:rsidR="00094E0C">
        <w:t>(Muya</w:t>
      </w:r>
      <w:r w:rsidR="00B57E02">
        <w:t>S</w:t>
      </w:r>
      <w:r w:rsidR="00094E0C">
        <w:t>hop)</w:t>
      </w:r>
      <w:r w:rsidR="00B22DE0">
        <w:t>,</w:t>
      </w:r>
      <w:r w:rsidR="00094E0C">
        <w:t xml:space="preserve"> y </w:t>
      </w:r>
      <w:r w:rsidR="00B57E02">
        <w:t>se rellena un Excel manualmente con la información obtenida de los reportes.</w:t>
      </w:r>
    </w:p>
    <w:p w14:paraId="3601CC7C" w14:textId="77777777" w:rsidR="00097A52" w:rsidRDefault="00097A52" w:rsidP="00097A52">
      <w:pPr>
        <w:pStyle w:val="Prrafodelista"/>
        <w:ind w:left="1440"/>
        <w:jc w:val="both"/>
      </w:pPr>
    </w:p>
    <w:p w14:paraId="512453BE" w14:textId="77777777" w:rsidR="00D964C3" w:rsidRDefault="00641DC9" w:rsidP="00D964C3">
      <w:pPr>
        <w:pStyle w:val="Prrafodelista"/>
        <w:numPr>
          <w:ilvl w:val="1"/>
          <w:numId w:val="3"/>
        </w:numPr>
        <w:jc w:val="both"/>
      </w:pPr>
      <w:r>
        <w:t>Descripción de los cambios solicitados:</w:t>
      </w:r>
    </w:p>
    <w:p w14:paraId="0B8E8F56" w14:textId="3D0F479E" w:rsidR="00825C43" w:rsidRDefault="00D964C3" w:rsidP="009A3F85">
      <w:pPr>
        <w:pStyle w:val="Prrafodelista"/>
        <w:ind w:left="1440"/>
        <w:jc w:val="both"/>
      </w:pPr>
      <w:r>
        <w:t xml:space="preserve">Se solicita </w:t>
      </w:r>
      <w:r w:rsidR="00B22DE0">
        <w:t>implementar en el SG5 un módulo que</w:t>
      </w:r>
      <w:r>
        <w:t xml:space="preserve"> </w:t>
      </w:r>
      <w:r w:rsidR="00B22DE0">
        <w:t>pueda generar un consolidado de saldos</w:t>
      </w:r>
      <w:r w:rsidR="009A3F85">
        <w:t xml:space="preserve"> utilizando la información obtenida diariamente de los reportes de </w:t>
      </w:r>
      <w:r w:rsidR="009A3F85">
        <w:t>flujo de caja con cancelaciones junto con el listado de comprobantes con cancelaciones (MuyaShop)</w:t>
      </w:r>
      <w:r w:rsidR="009A3F85">
        <w:t>.</w:t>
      </w:r>
    </w:p>
    <w:p w14:paraId="0E3B3CF6" w14:textId="119E6490" w:rsidR="009A3F85" w:rsidRDefault="009A3F85" w:rsidP="009A3F85">
      <w:pPr>
        <w:pStyle w:val="Prrafodelista"/>
        <w:ind w:left="1440"/>
        <w:jc w:val="both"/>
      </w:pPr>
    </w:p>
    <w:p w14:paraId="0484AED3" w14:textId="77777777" w:rsidR="009A3F85" w:rsidRDefault="009A3F85" w:rsidP="009A3F85">
      <w:pPr>
        <w:pStyle w:val="Prrafodelista"/>
        <w:ind w:left="1440"/>
        <w:jc w:val="both"/>
      </w:pPr>
    </w:p>
    <w:p w14:paraId="37EE5A4E" w14:textId="77777777" w:rsidR="009A3F85" w:rsidRDefault="009A3F85" w:rsidP="009A3F85">
      <w:pPr>
        <w:pStyle w:val="Prrafodelista"/>
        <w:ind w:left="1440"/>
        <w:jc w:val="both"/>
      </w:pPr>
    </w:p>
    <w:p w14:paraId="325FB536" w14:textId="77777777" w:rsidR="00D964C3" w:rsidRDefault="00641DC9" w:rsidP="00D964C3">
      <w:pPr>
        <w:pStyle w:val="Prrafodelista"/>
        <w:numPr>
          <w:ilvl w:val="1"/>
          <w:numId w:val="3"/>
        </w:numPr>
        <w:jc w:val="both"/>
      </w:pPr>
      <w:r>
        <w:t>Descripción del funcionamiento:</w:t>
      </w:r>
    </w:p>
    <w:p w14:paraId="41D4B98D" w14:textId="58D8ED5B" w:rsidR="00825C43" w:rsidRDefault="006E3049" w:rsidP="00825C43">
      <w:pPr>
        <w:pStyle w:val="Prrafodelista"/>
        <w:ind w:left="1440"/>
        <w:jc w:val="both"/>
      </w:pPr>
      <w:r>
        <w:t xml:space="preserve">El SG5 </w:t>
      </w:r>
    </w:p>
    <w:p w14:paraId="1516A689" w14:textId="20FF8D85" w:rsidR="001E3A50" w:rsidRDefault="001E3A50" w:rsidP="00825C43">
      <w:pPr>
        <w:pStyle w:val="Prrafodelista"/>
        <w:ind w:left="1440"/>
        <w:jc w:val="both"/>
      </w:pPr>
    </w:p>
    <w:p w14:paraId="06E4E031" w14:textId="77777777" w:rsidR="001E3A50" w:rsidRDefault="001E3A50" w:rsidP="00825C43">
      <w:pPr>
        <w:pStyle w:val="Prrafodelista"/>
        <w:ind w:left="1440"/>
        <w:jc w:val="both"/>
      </w:pPr>
    </w:p>
    <w:p w14:paraId="7E422CE0" w14:textId="52F3DA80" w:rsidR="00807115" w:rsidRDefault="00641DC9" w:rsidP="00807115">
      <w:pPr>
        <w:pStyle w:val="Prrafodelista"/>
        <w:numPr>
          <w:ilvl w:val="1"/>
          <w:numId w:val="3"/>
        </w:numPr>
        <w:jc w:val="both"/>
      </w:pPr>
      <w:r>
        <w:t>Validaciones que deben estar incluidas:</w:t>
      </w:r>
    </w:p>
    <w:p w14:paraId="470F92CB" w14:textId="7012334B" w:rsidR="00825C43" w:rsidRDefault="00807115" w:rsidP="00DC1350">
      <w:pPr>
        <w:pStyle w:val="Prrafodelista"/>
        <w:numPr>
          <w:ilvl w:val="0"/>
          <w:numId w:val="38"/>
        </w:numPr>
        <w:jc w:val="both"/>
      </w:pPr>
      <w:r>
        <w:t>Se debe permitir visualizar el consolidado de saldos por fechas.</w:t>
      </w:r>
    </w:p>
    <w:p w14:paraId="0546B970" w14:textId="0782DC4B" w:rsidR="00807115" w:rsidRDefault="00807115" w:rsidP="00DC1350">
      <w:pPr>
        <w:pStyle w:val="Prrafodelista"/>
        <w:numPr>
          <w:ilvl w:val="0"/>
          <w:numId w:val="38"/>
        </w:numPr>
        <w:jc w:val="both"/>
      </w:pPr>
      <w:r>
        <w:t>Se debe cargar la información de los reportes al consolidado de saldos, diariamente.</w:t>
      </w:r>
    </w:p>
    <w:p w14:paraId="5032EBD4" w14:textId="77777777" w:rsidR="00807115" w:rsidRDefault="00641DC9" w:rsidP="00807115">
      <w:pPr>
        <w:pStyle w:val="Prrafodelista"/>
        <w:numPr>
          <w:ilvl w:val="1"/>
          <w:numId w:val="3"/>
        </w:numPr>
        <w:jc w:val="both"/>
      </w:pPr>
      <w:r>
        <w:t>Casuísticas que deben estar contempladas:</w:t>
      </w:r>
    </w:p>
    <w:p w14:paraId="70201300" w14:textId="5A5D8136" w:rsidR="00807115" w:rsidRDefault="00807115" w:rsidP="00807115">
      <w:pPr>
        <w:pStyle w:val="Prrafodelista"/>
        <w:ind w:left="1440"/>
        <w:jc w:val="both"/>
      </w:pPr>
      <w:r>
        <w:t>Al descargar reportes del sistema, se obtiene lo siguiente:</w:t>
      </w:r>
    </w:p>
    <w:p w14:paraId="43D2269C" w14:textId="77777777" w:rsidR="00807115" w:rsidRDefault="00807115" w:rsidP="00807115">
      <w:pPr>
        <w:pStyle w:val="Prrafodelista"/>
        <w:ind w:left="1440"/>
        <w:jc w:val="both"/>
      </w:pPr>
    </w:p>
    <w:p w14:paraId="63213027" w14:textId="3B7F47F1" w:rsidR="00F96CA2" w:rsidRDefault="00F96CA2" w:rsidP="00901CA6">
      <w:pPr>
        <w:pStyle w:val="Prrafodelista"/>
        <w:ind w:left="1440"/>
        <w:jc w:val="both"/>
      </w:pPr>
    </w:p>
    <w:p w14:paraId="6B136BF3" w14:textId="77777777" w:rsidR="00F96CA2" w:rsidRPr="007B3D39" w:rsidRDefault="00F96CA2" w:rsidP="00F96CA2">
      <w:pPr>
        <w:pStyle w:val="Prrafodelista"/>
        <w:ind w:left="1440"/>
        <w:jc w:val="both"/>
      </w:pPr>
    </w:p>
    <w:p w14:paraId="7C61194F" w14:textId="77777777" w:rsidR="00037E03" w:rsidRDefault="00037E03" w:rsidP="00037E03">
      <w:pPr>
        <w:pStyle w:val="Prrafodelista"/>
        <w:jc w:val="both"/>
      </w:pPr>
    </w:p>
    <w:p w14:paraId="5062F6C1" w14:textId="77777777" w:rsidR="00DC47A9" w:rsidRDefault="00DC47A9" w:rsidP="00DC47A9">
      <w:pPr>
        <w:jc w:val="both"/>
      </w:pPr>
    </w:p>
    <w:p w14:paraId="14F5A37C" w14:textId="513ACA16" w:rsidR="00DC47A9" w:rsidRDefault="00DC47A9" w:rsidP="00DC47A9">
      <w:pPr>
        <w:pStyle w:val="Ttulo1"/>
      </w:pPr>
      <w:bookmarkStart w:id="4" w:name="_Toc95832668"/>
      <w:r>
        <w:t>Sistemas/módulos que impactan en la configuración</w:t>
      </w:r>
      <w:bookmarkEnd w:id="4"/>
      <w:r>
        <w:t xml:space="preserve"> </w:t>
      </w:r>
    </w:p>
    <w:p w14:paraId="04E0AF2D" w14:textId="7D0377B9" w:rsidR="00DC47A9" w:rsidRDefault="001E3A50" w:rsidP="00825C43">
      <w:pPr>
        <w:pStyle w:val="Prrafodelista"/>
        <w:numPr>
          <w:ilvl w:val="0"/>
          <w:numId w:val="13"/>
        </w:numPr>
        <w:jc w:val="both"/>
      </w:pPr>
      <w:r>
        <w:t>SG5</w:t>
      </w:r>
    </w:p>
    <w:p w14:paraId="3AACFE01" w14:textId="77777777" w:rsidR="00DC47A9" w:rsidRDefault="00DC47A9" w:rsidP="00DC47A9">
      <w:pPr>
        <w:jc w:val="both"/>
      </w:pPr>
    </w:p>
    <w:p w14:paraId="19995018" w14:textId="77777777" w:rsidR="00DC47A9" w:rsidRDefault="00DC47A9" w:rsidP="00DC47A9">
      <w:pPr>
        <w:pStyle w:val="Ttulo1"/>
      </w:pPr>
      <w:bookmarkStart w:id="5" w:name="_Toc95832669"/>
      <w:r>
        <w:t>Áreas que impactan en la configuración</w:t>
      </w:r>
      <w:bookmarkEnd w:id="5"/>
    </w:p>
    <w:p w14:paraId="5D2497DB" w14:textId="3B662652" w:rsidR="00DC47A9" w:rsidRDefault="001E3A50" w:rsidP="00DC47A9">
      <w:pPr>
        <w:pStyle w:val="Prrafodelista"/>
        <w:numPr>
          <w:ilvl w:val="0"/>
          <w:numId w:val="11"/>
        </w:numPr>
        <w:jc w:val="both"/>
      </w:pPr>
      <w:r>
        <w:t>Administración y finanzas</w:t>
      </w:r>
    </w:p>
    <w:p w14:paraId="62422585" w14:textId="77777777" w:rsidR="00DC47A9" w:rsidRDefault="00DC47A9" w:rsidP="00DC47A9">
      <w:pPr>
        <w:jc w:val="both"/>
      </w:pPr>
    </w:p>
    <w:p w14:paraId="1EA64871" w14:textId="552698BA" w:rsidR="00DC47A9" w:rsidRDefault="00DC47A9" w:rsidP="00DC47A9">
      <w:pPr>
        <w:pStyle w:val="Ttulo1"/>
      </w:pPr>
      <w:bookmarkStart w:id="6" w:name="_Toc95832670"/>
      <w:r>
        <w:lastRenderedPageBreak/>
        <w:t>Aspectos de seguridad de la información</w:t>
      </w:r>
      <w:bookmarkEnd w:id="6"/>
    </w:p>
    <w:p w14:paraId="6C35EAD1" w14:textId="3576ABA1" w:rsidR="00DC47A9" w:rsidRDefault="00DC47A9" w:rsidP="00DC47A9">
      <w:pPr>
        <w:jc w:val="both"/>
      </w:pPr>
    </w:p>
    <w:p w14:paraId="6B7E56F9" w14:textId="77777777" w:rsidR="00DC47A9" w:rsidRDefault="00DC47A9" w:rsidP="00DC47A9">
      <w:pPr>
        <w:jc w:val="both"/>
      </w:pPr>
    </w:p>
    <w:p w14:paraId="68DB82D2" w14:textId="7FA129A5" w:rsidR="00DC47A9" w:rsidRDefault="00DC47A9" w:rsidP="00DC47A9">
      <w:pPr>
        <w:pStyle w:val="Ttulo1"/>
      </w:pPr>
      <w:bookmarkStart w:id="7" w:name="_Toc95832671"/>
      <w:r>
        <w:t>Otros</w:t>
      </w:r>
      <w:bookmarkEnd w:id="7"/>
    </w:p>
    <w:p w14:paraId="5109B20D" w14:textId="78767F25" w:rsidR="00DC47A9" w:rsidRDefault="00DC47A9" w:rsidP="00DC47A9">
      <w:pPr>
        <w:jc w:val="both"/>
      </w:pPr>
    </w:p>
    <w:p w14:paraId="74F8AA98" w14:textId="02B588AD" w:rsidR="00371016" w:rsidRDefault="00371016" w:rsidP="00DC47A9">
      <w:pPr>
        <w:jc w:val="both"/>
      </w:pPr>
    </w:p>
    <w:p w14:paraId="09490747" w14:textId="51A8EBA3" w:rsidR="00371016" w:rsidRDefault="00371016" w:rsidP="00DC47A9">
      <w:pPr>
        <w:jc w:val="both"/>
      </w:pPr>
    </w:p>
    <w:p w14:paraId="5864A991" w14:textId="77777777" w:rsidR="00371016" w:rsidRDefault="00371016" w:rsidP="00DC47A9">
      <w:pPr>
        <w:jc w:val="both"/>
      </w:pPr>
    </w:p>
    <w:sectPr w:rsidR="00371016" w:rsidSect="00201A79"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8236" w14:textId="77777777" w:rsidR="0047312C" w:rsidRDefault="0047312C" w:rsidP="00201A79">
      <w:pPr>
        <w:spacing w:after="0" w:line="240" w:lineRule="auto"/>
      </w:pPr>
      <w:r>
        <w:separator/>
      </w:r>
    </w:p>
  </w:endnote>
  <w:endnote w:type="continuationSeparator" w:id="0">
    <w:p w14:paraId="7F1ADC09" w14:textId="77777777" w:rsidR="0047312C" w:rsidRDefault="0047312C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286E" w14:textId="77777777" w:rsidR="0047312C" w:rsidRDefault="0047312C" w:rsidP="00201A79">
      <w:pPr>
        <w:spacing w:after="0" w:line="240" w:lineRule="auto"/>
      </w:pPr>
      <w:r>
        <w:separator/>
      </w:r>
    </w:p>
  </w:footnote>
  <w:footnote w:type="continuationSeparator" w:id="0">
    <w:p w14:paraId="60A13474" w14:textId="77777777" w:rsidR="0047312C" w:rsidRDefault="0047312C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91456"/>
    <w:multiLevelType w:val="hybridMultilevel"/>
    <w:tmpl w:val="B28AF3C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AC5260"/>
    <w:multiLevelType w:val="hybridMultilevel"/>
    <w:tmpl w:val="E04685D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30"/>
  </w:num>
  <w:num w:numId="4">
    <w:abstractNumId w:val="37"/>
  </w:num>
  <w:num w:numId="5">
    <w:abstractNumId w:val="12"/>
  </w:num>
  <w:num w:numId="6">
    <w:abstractNumId w:val="7"/>
  </w:num>
  <w:num w:numId="7">
    <w:abstractNumId w:val="13"/>
  </w:num>
  <w:num w:numId="8">
    <w:abstractNumId w:val="31"/>
  </w:num>
  <w:num w:numId="9">
    <w:abstractNumId w:val="8"/>
  </w:num>
  <w:num w:numId="10">
    <w:abstractNumId w:val="18"/>
  </w:num>
  <w:num w:numId="11">
    <w:abstractNumId w:val="26"/>
  </w:num>
  <w:num w:numId="12">
    <w:abstractNumId w:val="33"/>
  </w:num>
  <w:num w:numId="13">
    <w:abstractNumId w:val="11"/>
  </w:num>
  <w:num w:numId="14">
    <w:abstractNumId w:val="32"/>
  </w:num>
  <w:num w:numId="15">
    <w:abstractNumId w:val="29"/>
  </w:num>
  <w:num w:numId="16">
    <w:abstractNumId w:val="0"/>
  </w:num>
  <w:num w:numId="17">
    <w:abstractNumId w:val="36"/>
  </w:num>
  <w:num w:numId="18">
    <w:abstractNumId w:val="6"/>
  </w:num>
  <w:num w:numId="19">
    <w:abstractNumId w:val="15"/>
  </w:num>
  <w:num w:numId="20">
    <w:abstractNumId w:val="1"/>
  </w:num>
  <w:num w:numId="21">
    <w:abstractNumId w:val="2"/>
  </w:num>
  <w:num w:numId="22">
    <w:abstractNumId w:val="21"/>
  </w:num>
  <w:num w:numId="23">
    <w:abstractNumId w:val="4"/>
  </w:num>
  <w:num w:numId="24">
    <w:abstractNumId w:val="27"/>
  </w:num>
  <w:num w:numId="25">
    <w:abstractNumId w:val="17"/>
  </w:num>
  <w:num w:numId="26">
    <w:abstractNumId w:val="22"/>
  </w:num>
  <w:num w:numId="27">
    <w:abstractNumId w:val="34"/>
  </w:num>
  <w:num w:numId="28">
    <w:abstractNumId w:val="10"/>
  </w:num>
  <w:num w:numId="29">
    <w:abstractNumId w:val="14"/>
  </w:num>
  <w:num w:numId="30">
    <w:abstractNumId w:val="3"/>
  </w:num>
  <w:num w:numId="31">
    <w:abstractNumId w:val="23"/>
  </w:num>
  <w:num w:numId="32">
    <w:abstractNumId w:val="28"/>
  </w:num>
  <w:num w:numId="33">
    <w:abstractNumId w:val="9"/>
  </w:num>
  <w:num w:numId="34">
    <w:abstractNumId w:val="5"/>
  </w:num>
  <w:num w:numId="35">
    <w:abstractNumId w:val="16"/>
  </w:num>
  <w:num w:numId="36">
    <w:abstractNumId w:val="35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37E03"/>
    <w:rsid w:val="00094E0C"/>
    <w:rsid w:val="00097A52"/>
    <w:rsid w:val="000A68F3"/>
    <w:rsid w:val="000C4C80"/>
    <w:rsid w:val="000D7605"/>
    <w:rsid w:val="00100DC0"/>
    <w:rsid w:val="00144AF5"/>
    <w:rsid w:val="001661BE"/>
    <w:rsid w:val="0016722D"/>
    <w:rsid w:val="001975C0"/>
    <w:rsid w:val="001E3A50"/>
    <w:rsid w:val="001F1590"/>
    <w:rsid w:val="00201A79"/>
    <w:rsid w:val="00280DF2"/>
    <w:rsid w:val="00295D9C"/>
    <w:rsid w:val="0034032C"/>
    <w:rsid w:val="00351D78"/>
    <w:rsid w:val="00362BCA"/>
    <w:rsid w:val="003644FD"/>
    <w:rsid w:val="00371016"/>
    <w:rsid w:val="00371377"/>
    <w:rsid w:val="00397019"/>
    <w:rsid w:val="0047312C"/>
    <w:rsid w:val="00477591"/>
    <w:rsid w:val="00484EFB"/>
    <w:rsid w:val="00492EA5"/>
    <w:rsid w:val="004A652C"/>
    <w:rsid w:val="004D135D"/>
    <w:rsid w:val="00560787"/>
    <w:rsid w:val="005B4ED2"/>
    <w:rsid w:val="005F47C7"/>
    <w:rsid w:val="00624768"/>
    <w:rsid w:val="00641DC9"/>
    <w:rsid w:val="0067555F"/>
    <w:rsid w:val="0069500E"/>
    <w:rsid w:val="006E3049"/>
    <w:rsid w:val="007421D5"/>
    <w:rsid w:val="00746817"/>
    <w:rsid w:val="00753F47"/>
    <w:rsid w:val="00776755"/>
    <w:rsid w:val="007A2022"/>
    <w:rsid w:val="00807115"/>
    <w:rsid w:val="00825C43"/>
    <w:rsid w:val="00854100"/>
    <w:rsid w:val="008E7E09"/>
    <w:rsid w:val="00901CA6"/>
    <w:rsid w:val="00916DEE"/>
    <w:rsid w:val="00952A22"/>
    <w:rsid w:val="00963486"/>
    <w:rsid w:val="00982631"/>
    <w:rsid w:val="009A03F2"/>
    <w:rsid w:val="009A3F85"/>
    <w:rsid w:val="009B4684"/>
    <w:rsid w:val="009C4193"/>
    <w:rsid w:val="009F13C3"/>
    <w:rsid w:val="00A97177"/>
    <w:rsid w:val="00AB430D"/>
    <w:rsid w:val="00AB734C"/>
    <w:rsid w:val="00AE3125"/>
    <w:rsid w:val="00B22DE0"/>
    <w:rsid w:val="00B57E02"/>
    <w:rsid w:val="00BC60FF"/>
    <w:rsid w:val="00BE67C3"/>
    <w:rsid w:val="00BF435A"/>
    <w:rsid w:val="00C0041C"/>
    <w:rsid w:val="00C162A4"/>
    <w:rsid w:val="00C60CE5"/>
    <w:rsid w:val="00CF4045"/>
    <w:rsid w:val="00CF69EF"/>
    <w:rsid w:val="00D10F30"/>
    <w:rsid w:val="00D3569F"/>
    <w:rsid w:val="00D415C3"/>
    <w:rsid w:val="00D762AA"/>
    <w:rsid w:val="00D964C3"/>
    <w:rsid w:val="00DC1350"/>
    <w:rsid w:val="00DC47A9"/>
    <w:rsid w:val="00E06CD6"/>
    <w:rsid w:val="00E606A4"/>
    <w:rsid w:val="00E66C45"/>
    <w:rsid w:val="00E70786"/>
    <w:rsid w:val="00E71047"/>
    <w:rsid w:val="00EC5875"/>
    <w:rsid w:val="00F96CA2"/>
    <w:rsid w:val="00FB0736"/>
    <w:rsid w:val="00F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7</cp:revision>
  <dcterms:created xsi:type="dcterms:W3CDTF">2022-02-11T15:33:00Z</dcterms:created>
  <dcterms:modified xsi:type="dcterms:W3CDTF">2022-02-18T15:55:00Z</dcterms:modified>
</cp:coreProperties>
</file>